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BbgPG (Brandenburg) — Kennzeichnung entgeltlicher Veröffentlichungen</w:t>
      </w:r>
    </w:p>
    <w:p>
      <w:r>
        <w:rPr>
          <w:color w:val="555555"/>
          <w:sz w:val="18"/>
        </w:rPr>
        <w:t xml:space="preserve">Brandenburgisches Landespressegesetz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Haben die Verlegerin oder der Verleger eines periodischen Druckwerks oder die verantwortliche Person (§ 8 Absatz 2 Satz 4) aus Anlass oder im Zusammenhang mit einer Veröffentlichung ein Entgelt oder einen anderen geltwerten Vorteil erhalten, gefordert oder sich versprechen lassen, so haben sie diese Veröffentlichung, soweit diese nicht schon durch die Anordnung und Gestaltung allgemein als Anzeige zu erkennen ist, deutlich mit dem Wort „Anzeige“ zu bezeichnen.</w:t>
      </w:r>
    </w:p>
    <w:p>
      <w:r>
        <w:rPr>
          <w:color w:val="555555"/>
          <w:sz w:val="17"/>
        </w:rPr>
        <w:t xml:space="preserve">Zitiervorschlag: § 11 BbgPG (Brandenburg)</w:t>
      </w:r>
    </w:p>
    <w:p>
      <w:r>
        <w:rPr>
          <w:color w:val="555555"/>
          <w:sz w:val="17"/>
        </w:rPr>
        <w:t xml:space="preserve">Quelle: bravors, abgerufen 30.07.2026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https://recht.nulegal.eu/gesetze/BbgPG/11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