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BbgPBWoG (Brandenburg) — Zusätzliche Qualitätsanforderungen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Einrichtung nach § 4 darf nur betreiben, wer als Leistungsanbieter</w:t>
      </w:r>
    </w:p>
    <w:p>
      <w:r>
        <w:t xml:space="preserve">neben der Zuverlässigkeit auch die wirtschaftliche Leistungsfähigkeit zum Betrieb der Einrichtung besitzt; von der erforderlichen wirtschaftlichen Leistungsfähigkeit ist in der Regel auszugehen, wenn ein Versorgungsvertrag nach § 72 des Elften Buches Sozialgesetzbuch oder eine Vereinbarung nach § 75 Absatz 3 des Zwölften Buches Sozialgesetzbuch vorliegt, und</w:t>
      </w:r>
    </w:p>
    <w:p>
      <w:r>
        <w:t xml:space="preserve">die Gewähr dafür bietet, dass für alle auf die Bewohnerinnen und Bewohner bezogenen Betriebsabläufe die Entscheidungsbefugnisse, die Verantwortungsbereiche der Leitungspersonen und Beschäftigten und die Kommunikationswege innerhalb der Organisation festgelegt sind; dies gilt insbesondere für die Bereiche Pflege, Betreuung, Verpflegung und Hauswirtschaft.</w:t>
      </w:r>
    </w:p>
    <w:p>
      <w:r>
        <w:t xml:space="preserve">(2) Der Leistungsanbieter ist verpflichtet,</w:t>
      </w:r>
    </w:p>
    <w:p>
      <w:r>
        <w:t xml:space="preserve">eine nach dem allgemein anerkannten Stand fachlicher Erkenntnisse entsprechende Qualität der Betreuung, Pflege und Förderung zu erbringen; dies ist in der Regel anzunehmen, soweit die nach dem Elften oder dem Zwölften Buch Sozialgesetzbuch vereinbarten Qualitätsmaßstäbe und Expertenstandards gewahrt werden,</w:t>
      </w:r>
    </w:p>
    <w:p>
      <w:r>
        <w:t xml:space="preserve">einen ausreichenden Infektionsschutz sicherzustellen,</w:t>
      </w:r>
    </w:p>
    <w:p>
      <w:r>
        <w:t xml:space="preserve">einen ordnungsgemäßen Umgang mit Medikamenten zu gewährleisten,</w:t>
      </w:r>
    </w:p>
    <w:p>
      <w:r>
        <w:t xml:space="preserve">eine angemessene hauswirtschaftliche Versorgung zu leisten oder vorzuhalten, soweit diese Leistung vertraglich vereinbart ist,</w:t>
      </w:r>
    </w:p>
    <w:p>
      <w:r>
        <w:t xml:space="preserve">die Leistungen unter Wahrung der kulturellen, geschlechtlichen und sexuellen Identität der Bewohnerinnen und Bewohner zu erbringen,</w:t>
      </w:r>
    </w:p>
    <w:p>
      <w:r>
        <w:t xml:space="preserve">Vorkehrungen für die Wahrung der Selbstbestimmung bei zunehmendem Unterstützungsbedarf der Bewohnerinnen und Bewohner in krankheitsbedingten Krisensituationen und im Sterben zu treffen,</w:t>
      </w:r>
    </w:p>
    <w:p>
      <w:r>
        <w:t xml:space="preserve">die vertraglichen Leistungen unter Einhaltung der nicht abdingbaren gesetzlichen Bestimmungen hinsichtlich Entgelterhöhungen, Anpassungspflichten auf veränderte Betreuungsbedarfe, Kündigung sowie Nachsorgepflicht bei rechtswirksamen Kündigungen zu erbringen sowie angemessene Entgelte zu verlangen und</w:t>
      </w:r>
    </w:p>
    <w:p>
      <w:r>
        <w:t xml:space="preserve">die Bewohnerinnen und Bewohner auf trägerneutrale Beratungsstellen und externe Beschwerdemöglichkeiten durch entsprechenden Aushang hinzuweisen.</w:t>
      </w:r>
    </w:p>
    <w:p>
      <w:r>
        <w:t xml:space="preserve">(3) Die Pflichten des Absatzes 2 Nummer 1 bis 6 gelten auch für die mit der Leitung der Einrichtung beauftragten Personen.</w:t>
      </w:r>
    </w:p>
    <w:p>
      <w:r>
        <w:rPr>
          <w:color w:val="555555"/>
          <w:sz w:val="17"/>
        </w:rPr>
        <w:t xml:space="preserve">Zitiervorschlag: § 8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