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BbgPBWoG (Brandenburg) — Einrichtungen und ihnen gleichgestellte Wohnformen</w:t>
      </w:r>
    </w:p>
    <w:p>
      <w:r>
        <w:rPr>
          <w:color w:val="555555"/>
          <w:sz w:val="18"/>
        </w:rPr>
        <w:t xml:space="preserve">Brandenburgisches Pflege- und Betreuungswohngesetz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Einrichtungen im Sinne dieses Gesetzes sind unterstützende Wohnformen nach § 1 Absatz 2 Satz 2, in denen</w:t>
      </w:r>
    </w:p>
    <w:p>
      <w:r>
        <w:t xml:space="preserve">sich ein Leistungsanbieter zur Überlassung von Wohnraum und zur Erbringung von Pflege- oder Betreuungsleistungen in einem Vertrag verpflichtet,</w:t>
      </w:r>
    </w:p>
    <w:p>
      <w:r>
        <w:t xml:space="preserve">der Bestand des Vertrags über die Überlassung von Wohnraum von dem Bestand des Vertrags über die Pflege- oder Betreuungsleistungen abhängig ist oder</w:t>
      </w:r>
    </w:p>
    <w:p>
      <w:r>
        <w:t xml:space="preserve">die Nutzerin oder der Nutzer an dem Vertrag über die Überlassung von Wohnraum nach den vertraglichen Vereinbarungen nicht unabhängig von dem Vertrag über Pflege- oder Betreuungsleistungen festhalten kann.</w:t>
      </w:r>
    </w:p>
    <w:p>
      <w:r>
        <w:t xml:space="preserve">(2) Den Einrichtungen werden Wohnformen gleichgestellt, in denen der Vertrag über die Überlassung von Wohnraum von dem Vertrag über die Erbringung von Pflege- oder Betreuungsleistungen tatsächlich abhängig ist. Eine solche Abhängigkeit wird vermutet, wenn</w:t>
      </w:r>
    </w:p>
    <w:p>
      <w:r>
        <w:t xml:space="preserve">der Zweck des Dienstleistungsangebotes in der umfassenden Versorgung von mehreren Personen mit weitgehendem Unterstützungsbedarf liegt, der eine durchgehende und schichtplanmäßige Präsenz von Betreuungskräften in der unterstützenden Wohnform erforderlich macht, oder</w:t>
      </w:r>
    </w:p>
    <w:p>
      <w:r>
        <w:t xml:space="preserve">der Anbieter der Pflege- oder Betreuungsleistungen mit dem Vermieter des Wohnraums rechtlich oder wirtschaftlich verbunden ist; eine solche rechtliche oder wirtschaftliche Verbundenheit ist insbesondere anzunehmen, wenn die Beteiligten</w:t>
      </w:r>
    </w:p>
    <w:p>
      <w:r>
        <w:t xml:space="preserve">personenidentisch sind,</w:t>
      </w:r>
    </w:p>
    <w:p>
      <w:r>
        <w:t xml:space="preserve">gesellschaftsrechtliche Verbindungen aufweisen,</w:t>
      </w:r>
    </w:p>
    <w:p>
      <w:r>
        <w:t xml:space="preserve">in Bezug auf die Einrichtung eine vertragliche Beziehung eingegangen sind, soweit sich diese nicht ausschließlich auf die Bereitstellung allgemeiner Serviceleistungen im Sinne des § 3 Absatz 1 Satz 2 bezieht, oder</w:t>
      </w:r>
    </w:p>
    <w:p>
      <w:r>
        <w:t xml:space="preserve">in einem Angehörigenverhältnis nach § 20 Absatz 5 Satz 1 des Verwaltungsverfahrensgesetzes in der Fassung der Bekanntmachung vom 23. Januar 2003 (BGBl. I S. 102), das zuletzt durch Artikel 10 des Gesetzes vom 17. Dezember 2008 (BGBl. I S. 2586) geändert worden ist, zueinander stehen.</w:t>
      </w:r>
    </w:p>
    <w:p>
      <w:r>
        <w:t xml:space="preserve">Diese Vermutung ist widerlegt, wenn der Leistungsanbieter nachweist, dass die freie Wählbarkeit der Pflege- oder Betreuungsleistungen nicht eingeschränkt ist oder in absehbarer Zeit tatsächlich vorliegen wird.</w:t>
      </w:r>
    </w:p>
    <w:p>
      <w:r>
        <w:t xml:space="preserve">(3) Wohnformen für Menschen mit Behinderungen sind keine Einrichtungen, wenn</w:t>
      </w:r>
    </w:p>
    <w:p>
      <w:r>
        <w:t xml:space="preserve">sie eigene räumliche Einheiten bilden und nicht nur unselbstständige Teile einer Einrichtung im Sinne des Absatzes 1 oder des Absatzes 2 sind,</w:t>
      </w:r>
    </w:p>
    <w:p>
      <w:r>
        <w:t xml:space="preserve">nicht mehr als acht Personen gemeinschaftlich wohnen und betreut werden und</w:t>
      </w:r>
    </w:p>
    <w:p>
      <w:r>
        <w:t xml:space="preserve">der Unterstützungsbedarf dieser Personen keine tägliche Präsenz von Betreuungskräften über einen wesentlichen Teil des Tages erfordert.</w:t>
      </w:r>
    </w:p>
    <w:p>
      <w:r>
        <w:t xml:space="preserve">(4) Einrichtungen müssen die Anforderungen der Abschnitte 2 und 3 erfüllen.</w:t>
      </w:r>
    </w:p>
    <w:p>
      <w:r>
        <w:rPr>
          <w:color w:val="555555"/>
          <w:sz w:val="17"/>
        </w:rPr>
        <w:t xml:space="preserve">Zitiervorschlag: § 4 BbgPBWoG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https://recht.nulegal.eu/gesetze/BbgPBWoG/4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