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BbgPBWoG (Brandenburg) — Ersetzung von Bundesrecht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ersetzt im Land Brandenburg die §§ 1 bis 4 und 10 bis 26 des Heimgesetzes. § 10 des Heimgesetzes gilt bis zum 31. Dezember 2010 fort.</w:t>
      </w:r>
    </w:p>
    <w:p>
      <w:r>
        <w:t xml:space="preserve">(2) &amp;nbsp Das für Soziales zuständige Mitglied der Landesregierung wird ermächtigt, die aufgrund des § 3 Absatz 2 und des § 10 Absatz 5 des Heimgesetzes erlassenen Rechtsverordnungen aufzuheben.</w:t>
      </w:r>
    </w:p>
    <w:p>
      <w:r>
        <w:rPr>
          <w:color w:val="555555"/>
          <w:sz w:val="17"/>
        </w:rPr>
        <w:t xml:space="preserve">Zitiervorschlag: § 31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