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BbgPBWoG (Brandenburg) — Ordnungswidrigkeiten</w:t>
      </w:r>
    </w:p>
    <w:p>
      <w:r>
        <w:rPr>
          <w:color w:val="555555"/>
          <w:sz w:val="18"/>
        </w:rPr>
        <w:t xml:space="preserve">Brandenburgisches Pflege- und Betreuungswohngesetz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entgegen § 7 Absatz 1 eine Anzeige nicht, nicht richtig oder nicht rechtzeitig erstattet,</w:t>
      </w:r>
    </w:p>
    <w:p>
      <w:r>
        <w:t xml:space="preserve">eine Wohnform betreibt, obwohl ihm dies durch vollziehbare Verfügung nach § 24 Absatz 1, 2, 3 oder Absatz 4 untersagt worden ist, oder</w:t>
      </w:r>
    </w:p>
    <w:p>
      <w:r>
        <w:t xml:space="preserve">sich entgegen § 14 Absatz 1 oder Absatz 2 Geld oder geldwerte Leistungen gewähren oder versprechen lässt.</w:t>
      </w:r>
    </w:p>
    <w:p>
      <w:r>
        <w:t xml:space="preserve">(2) Ordnungswidrig handelt ferner, wer vorsätzlich seiner Dokumentations- und Aufbewahrungspflicht nach § 13 Absatz 1 Satz 1 nicht, nicht richtig oder nicht vollständig nachkommt.</w:t>
      </w:r>
    </w:p>
    <w:p>
      <w:r>
        <w:t xml:space="preserve">(3) Ordnungswidrig handelt auch, wer vorsätzlich oder fahrlässig</w:t>
      </w:r>
    </w:p>
    <w:p>
      <w:r>
        <w:t xml:space="preserve">einer Rechtsverordnung nach § 9 Absatz 3 oder § 16 Absatz 7 zuwiderhandelt, soweit sie für einen bestimmten Tatbestand auf diese Bußgeldvorschrift verweist,</w:t>
      </w:r>
    </w:p>
    <w:p>
      <w:r>
        <w:t xml:space="preserve">entgegen § 7 Absatz 4 Satz 1 oder Satz 2, § 10 Absatz 5 Satz 2, § 12 Absatz 3 Satz 1, 2 oder Satz 4 eine Mitteilung oder eine Anzeige nicht, nicht richtig oder nicht rechtzeitig erstattet,</w:t>
      </w:r>
    </w:p>
    <w:p>
      <w:r>
        <w:t xml:space="preserve">entgegen § 18 Absatz 1 Satz 1, Absatz 2 oder Absatz 3 eine Auskunft nicht, nicht richtig, nicht vollständig oder nicht rechtzeitig erteilt,</w:t>
      </w:r>
    </w:p>
    <w:p>
      <w:r>
        <w:t xml:space="preserve">entgegen § 19 Absatz 5 Satz 1 Nummer 2 oder Satz 2 eine Maßnahme nicht duldet oder</w:t>
      </w:r>
    </w:p>
    <w:p>
      <w:r>
        <w:t xml:space="preserve">einer vollziehbaren Anordnung nach § 23 Absatz 1 Satz 1 oder Satz 2, Absatz 2, 3 oder Absatz 4 Satz 2 zuwiderhandelt.</w:t>
      </w:r>
    </w:p>
    <w:p>
      <w:r>
        <w:t xml:space="preserve">(4) Wenn eine Person den §§ 6, 8, 9 Absatz 1 oder Absatz 2 oder den nach § 9 Absatz 3 erlassenen Rechtsverordnungen vorsätzlich zuwiderhandelt und hierdurch Aufwendungen erspart oder einen Gewinn erzielt, kann die zuständige Behörde § 29a des Gesetzes über Ordnungswidrigkeiten in der Fassung der Bekanntmachung vom 19. Februar 1987 (BGBl. I S. 602), das zuletzt durch Artikel 2 des Gesetzes vom 7. August 2007 (BGBl. I S. 1786, 1787) geändert worden ist, anwenden.</w:t>
      </w:r>
    </w:p>
    <w:p>
      <w:r>
        <w:t xml:space="preserve">(5) Die Ordnungswidrigkeit kann in den Fällen der Absätze 1 und 2 mit einer Geldbuße bis zu fünfundzwanzigtausend Euro, in den Fällen des Absatzes 3 mit einer Geldbuße bis zu zehntausend Euro geahndet werden.</w:t>
      </w:r>
    </w:p>
    <w:p>
      <w:r>
        <w:rPr>
          <w:color w:val="555555"/>
          <w:sz w:val="17"/>
        </w:rPr>
        <w:t xml:space="preserve">Zitiervorschlag: § 25 BbgPBWoG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https://recht.nulegal.eu/gesetze/BbgPBWoG/25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