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BbgPBWoG (Brandenburg) — Befugnisse bei Mängeln</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Mängel sind Abweichungen von Anforderungen nach diesem Gesetz oder aufgrund dieses Gesetzes erlassener Rechtsverordnungen, zu denen keine wirksame Befreiung erteilt wurde. Ein Mangel droht, wenn bei ungehindertem Fortgang sein Eintritt objektiv hinreichend wahrscheinlich ist.</w:t>
      </w:r>
    </w:p>
    <w:p>
      <w:r>
        <w:t xml:space="preserve">(2) Droht ein Mangel, hat die zuständige Behörde Maßnahmen nach § 22 zu treffen. Liegt ein Mangel vor, hat die zuständige Behörde geeignete Maßnahmen zu dessen Abstellung vorzunehmen,</w:t>
      </w:r>
    </w:p>
    <w:p>
      <w:r>
        <w:t xml:space="preserve">in Einrichtungen gemäß § 4 nach der Maßgabe der §§ 22 bis 24 und</w:t>
      </w:r>
    </w:p>
    <w:p>
      <w:r>
        <w:t xml:space="preserve">in Wohnformen mit eingeschränkter Selbstverantwortung gemäß § 5 nach der Maßgabe der §§ 22, 23 Absatz 1, 3 bis 7 und § 24.</w:t>
      </w:r>
    </w:p>
    <w:p>
      <w:r>
        <w:t xml:space="preserve">(3) Die zuständige Behörde kann ihre Befugnisse auch auf Feststellungen des Medizinischen Dienstes der Krankenversicherung oder anderer Überwachungsbehörden stützen, soweit aus ihnen ersichtlich ist, dass Anforderungen nach diesem Gesetz nicht erfüllt sind.</w:t>
      </w:r>
    </w:p>
    <w:p>
      <w:r>
        <w:rPr>
          <w:color w:val="555555"/>
          <w:sz w:val="17"/>
        </w:rPr>
        <w:t xml:space="preserve">Zitiervorschlag: § 21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