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BbgPBG (Brandenburg) — Evaluation</w:t>
      </w:r>
    </w:p>
    <w:p>
      <w:r>
        <w:rPr>
          <w:color w:val="555555"/>
          <w:sz w:val="18"/>
        </w:rPr>
        <w:t xml:space="preserve">Brandenburgisches Polizeibeauftragtengesetz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30.07.2026 (konsolidierte Textfassung, kein amtliches Inkrafttretensdatum)</w:t>
      </w:r>
    </w:p>
    <w:p>
      <w:r>
        <w:t xml:space="preserve">Der für Inneres zuständige Ausschuss des Landtages überprüft bis zum 30. September 2025 Anwendung und Auswirkung der Vorschriften dieses Gesetzes.</w:t>
      </w:r>
    </w:p>
    <w:p>
      <w:r>
        <w:rPr>
          <w:color w:val="555555"/>
          <w:sz w:val="17"/>
        </w:rPr>
        <w:t xml:space="preserve">Zitiervorschlag: § 17 BbgPBG (Brandenburg)</w:t>
      </w:r>
    </w:p>
    <w:p>
      <w:r>
        <w:rPr>
          <w:color w:val="555555"/>
          <w:sz w:val="17"/>
        </w:rPr>
        <w:t xml:space="preserve">Quelle: bravors, abgerufen 29.07.2026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https://recht.nulegal.eu/gesetze/BbgPBG/17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