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BbgPBG (Brandenburg) — Bezüge</w:t>
      </w:r>
    </w:p>
    <w:p>
      <w:r>
        <w:rPr>
          <w:color w:val="555555"/>
          <w:sz w:val="18"/>
        </w:rPr>
        <w:t xml:space="preserve">Brandenburgisches Polizeibeauftragtengesetz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oder der Beauftragte für Polizeiangelegenheiten erhält vom Beginn des Kalendermonats an, in dem das Amtsverhältnis beginnt, bis zum Schluss des Kalendermonats, in dem das Amtsverhältnis endet, Amtsbezüge in Höhe der einer Beamtin oder einem Beamten der Besoldungsgruppe B 3 bei einer obersten Landesbehörde zustehenden Besoldung. § 8 Absatz 2, 4 und 5 sowie die §§ 9 bis 17 des Brandenburgischen Ministergesetzes sind mit der Maßgabe anzuwenden, dass an die Stelle der Besoldungsgruppe B 11 für Ministerinnen und Minister in § 8 Absatz 2 des Brandenburgischen Ministergesetzes die Besoldungsgruppe B 3 tritt.</w:t>
      </w:r>
    </w:p>
    <w:p>
      <w:r>
        <w:rPr>
          <w:color w:val="555555"/>
          <w:sz w:val="17"/>
        </w:rPr>
        <w:t xml:space="preserve">Zitiervorschlag: § 16 BbgPBG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