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BbgPÜZAV (Brandenburg) — Übergangsvorschrift</w:t>
      </w:r>
    </w:p>
    <w:p>
      <w:r>
        <w:rPr>
          <w:color w:val="555555"/>
          <w:sz w:val="18"/>
        </w:rPr>
        <w:t xml:space="preserve">Verordnung über die Anerkennung als Prüf-, Überwachungs- oder Zertifizierungsstelle nach Bauordnungsrecht im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Personen, die zum Zeitpunkt des Inkrafttretens dieser Verordnung Leiterin oder Leiter einer nach bisherigem Recht anerkannten Prüfstelle oder Überwachungsgemeinschaft sind, sind für die entsprechenden Bauprodukte von der Forderung des § 2 Absatz 1 Satz 2 befreit.</w:t>
      </w:r>
    </w:p>
    <w:p>
      <w:r>
        <w:t xml:space="preserve">(2) Für Stellvertreterinnen und Stellvertreter, die nach bisherigem Recht gegenüber der Anerkennungsbehörde benannt worden sind, gilt die Befreiung gemäß Absatz 1 entsprechend.</w:t>
      </w:r>
    </w:p>
    <w:p>
      <w:r>
        <w:rPr>
          <w:color w:val="555555"/>
          <w:sz w:val="17"/>
        </w:rPr>
        <w:t xml:space="preserve">Zitiervorschlag: § 7 BbgPÜZAV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https://recht.nulegal.eu/gesetze/BbgP%C3%9CZAV/7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