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BbgOrdG (Brandenburg)</w:t>
      </w:r>
    </w:p>
    <w:p>
      <w:r>
        <w:rPr>
          <w:color w:val="555555"/>
          <w:sz w:val="18"/>
        </w:rPr>
        <w:t xml:space="preserve">Brandenburgisches Ordensgesetz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diesem Gesetz verwendeten Funktions- und anderen Bezeichnungen gelten für Frauen und Männer.</w:t>
      </w:r>
    </w:p>
    <w:p>
      <w:r>
        <w:t xml:space="preserve">(2) Die zur Ausführung dieses Gesetzes erforderlichen Verwaltungsvorschriften erlässt der Ministerpräsident.</w:t>
      </w:r>
    </w:p>
    <w:p>
      <w:r>
        <w:rPr>
          <w:color w:val="555555"/>
          <w:sz w:val="17"/>
        </w:rPr>
        <w:t xml:space="preserve">Zitiervorschlag: § 8 BbgOrdG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https://recht.nulegal.eu/gesetze/BbgOrdG/8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