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BbgOrdG (Brandenburg)</w:t>
      </w:r>
    </w:p>
    <w:p>
      <w:r>
        <w:rPr>
          <w:color w:val="555555"/>
          <w:sz w:val="18"/>
        </w:rPr>
        <w:t xml:space="preserve">Brandenburgisches Ordensgesetz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Beliehene erhalten eine Urkunde über die Verleihung. Die Urkunde trägt das große Landessiegel.</w:t>
      </w:r>
    </w:p>
    <w:p>
      <w:r>
        <w:t xml:space="preserve">(2) Die Verleihung wird im Amtsblatt für Brandenburg bekannt gemacht.</w:t>
      </w:r>
    </w:p>
    <w:p>
      <w:r>
        <w:t xml:space="preserve">(3) Der Orden und die Urkunde gehen in das Eigentum des Beliehenen über. Seine Hinterbliebenen sind zur Rückgabe nicht verpflichtet.</w:t>
      </w:r>
    </w:p>
    <w:p>
      <w:r>
        <w:rPr>
          <w:color w:val="555555"/>
          <w:sz w:val="17"/>
        </w:rPr>
        <w:t xml:space="preserve">Zitiervorschlag: § 6 BbgOrdG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https://recht.nulegal.eu/gesetze/BbgOrdG/6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