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BbgOrdG (Brandenburg)</w:t>
      </w:r>
    </w:p>
    <w:p>
      <w:r>
        <w:rPr>
          <w:color w:val="555555"/>
          <w:sz w:val="18"/>
        </w:rPr>
        <w:t xml:space="preserve">Brandenburgisches Ordensgesetz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Verdienstorden wird in einer Klasse verliehen.</w:t>
      </w:r>
    </w:p>
    <w:p>
      <w:r>
        <w:t xml:space="preserve">(2) In einem Kalenderjahr sollen in der Regel nicht mehr als zwanzig Verdienstorden verliehen werden. Die Zahl der Ordensinhaber soll nicht höher als dreihundert sein.</w:t>
      </w:r>
    </w:p>
    <w:p>
      <w:r>
        <w:t xml:space="preserve">(3) Der Ministerpräsident ist kraft Amtes Inhaber des Verdienstordens.</w:t>
      </w:r>
    </w:p>
    <w:p>
      <w:r>
        <w:t xml:space="preserve">(4) Scheidet eine Person durch Tod oder aus anderen Gründen aus dem Kreis der Ordensinhaber aus, so kann dieser Kreis entsprechend ergänzt werden.</w:t>
      </w:r>
    </w:p>
    <w:p>
      <w:r>
        <w:rPr>
          <w:color w:val="555555"/>
          <w:sz w:val="17"/>
        </w:rPr>
        <w:t xml:space="preserve">Zitiervorschlag: § 2 BbgOrdG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https://recht.nulegal.eu/gesetze/BbgOrdG/2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