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BbgNiRSchG (Brandenburg) — Grundrechtseinschränkung</w:t>
      </w:r>
    </w:p>
    <w:p>
      <w:r>
        <w:rPr>
          <w:color w:val="555555"/>
          <w:sz w:val="18"/>
        </w:rPr>
        <w:t xml:space="preserve">Brandenburgisches Nichtrauchendenschutzgesetz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Durch dieses Gesetz wird das Grundrecht auf Berufsausübung (Artikel 49 Abs. 1 Satz 1 der Verfassung des Landes Brandenburg) eingeschränkt.</w:t>
      </w:r>
    </w:p>
    <w:p>
      <w:r>
        <w:rPr>
          <w:color w:val="555555"/>
          <w:sz w:val="17"/>
        </w:rPr>
        <w:t xml:space="preserve">Zitiervorschlag: § 8 BbgNiRSchG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https://recht.nulegal.eu/gesetze/BbgNiRSchG/8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