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BbgNiRSchG (Brandenburg) — Ordnungswidrigkeiten</w:t>
      </w:r>
    </w:p>
    <w:p>
      <w:r>
        <w:rPr>
          <w:color w:val="555555"/>
          <w:sz w:val="18"/>
        </w:rPr>
        <w:t xml:space="preserve">Brandenburgisches Nichtrauchendenschutzgesetz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entgegen § 2 in einem Rauchverbotsbereich raucht,</w:t>
      </w:r>
    </w:p>
    <w:p>
      <w:r>
        <w:t xml:space="preserve">entgegen den Verpflichtungen nach § 6 Abs. 2 nicht unverzüglich Maßnahmen ergreift, um ein Andauern des Verstoßes zu unterbinden und weitere Verstöße zu verhindern, oder</w:t>
      </w:r>
    </w:p>
    <w:p>
      <w:r>
        <w:t xml:space="preserve">einer Hinweispflicht nach § 4 Absatz 2 Satz 1 Nummer 2, Satz 2 Nummer 3 oder Satz 3 Nummer 5 nicht nachkommt.</w:t>
      </w:r>
    </w:p>
    <w:p>
      <w:r>
        <w:t xml:space="preserve">(2) Die Ordnungswidrigkeit kann</w:t>
      </w:r>
    </w:p>
    <w:p>
      <w:r>
        <w:t xml:space="preserve">im Fall des Absatzes 1 Nr. 1 mit einer Geldbuße von 5 bis zu 100 Euro und</w:t>
      </w:r>
    </w:p>
    <w:p>
      <w:r>
        <w:t xml:space="preserve">in den Fällen des Absatzes 1 Nr. 2 und 3 mit einer Geldbuße von 10 bis zu 1 000 Euro</w:t>
      </w:r>
    </w:p>
    <w:p>
      <w:r>
        <w:t xml:space="preserve">geahndet werden.</w:t>
      </w:r>
    </w:p>
    <w:p>
      <w:r>
        <w:t xml:space="preserve">(3) Verwaltungsbehörden im Sinne des § 36 Abs. 1 Nr. 1 des Gesetzes über Ordnungswidrigkeiten sind die kreisfreien Städte, Ämter und amtsfreien Gemeinden; für Ordnungswidrigkeiten, die in den Gebäuden des Landtages begangen wurden, die Präsidentin oder der Präsident des Landtages.</w:t>
      </w:r>
    </w:p>
    <w:p>
      <w:r>
        <w:rPr>
          <w:color w:val="555555"/>
          <w:sz w:val="17"/>
        </w:rPr>
        <w:t xml:space="preserve">Zitiervorschlag: § 7 BbgNiRSchG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https://recht.nulegal.eu/gesetze/BbgNiRSchG/7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BbgNiRSchG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