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BbgNiRSchG (Brandenburg) — Zweck des Gesetzes</w:t>
      </w:r>
    </w:p>
    <w:p>
      <w:r>
        <w:rPr>
          <w:color w:val="555555"/>
          <w:sz w:val="18"/>
        </w:rPr>
        <w:t xml:space="preserve">Brandenburgisches Nichtrauchendenschutzgesetz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Zweck dieses Gesetzes ist die Wahrung und Stärkung des Schutzes von Nichtraucherinnen und Nichtrauchern vor den durch passives Rauchen bedingten gesundheitlichen Beeinträchtigungen.</w:t>
      </w:r>
    </w:p>
    <w:p>
      <w:r>
        <w:rPr>
          <w:color w:val="555555"/>
          <w:sz w:val="17"/>
        </w:rPr>
        <w:t xml:space="preserve">Zitiervorschlag: § 1 BbgNiRSchG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https://recht.nulegal.eu/gesetze/BbgNiRSchG/1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