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BbgNdG (Brandenburg) — Länderübergreifende Zusammenarbeit</w:t>
      </w:r>
    </w:p>
    <w:p>
      <w:r>
        <w:rPr>
          <w:color w:val="555555"/>
          <w:sz w:val="18"/>
        </w:rPr>
        <w:t xml:space="preserve">Brandenburgisches Niederdeutsch-Gesetz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fördert den sprachlichen Austausch zwischen den Sprecherinnen und Sprechern der niederdeutschen Sprache. Zu diesem Zweck arbeitet es eng mit dem Bundesrat für Niederdeutsch und dem länderübergreifenden Niederdeutschsekretariat zusammen.</w:t>
      </w:r>
    </w:p>
    <w:p>
      <w:r>
        <w:t xml:space="preserve">(2) Bei der Förderung der niederdeutschen Sprache strebt das Land eine enge Zusammenarbeit mit den anderen Bundesländern des niederdeutschen Sprachgebietes, insbesondere Sachsen-Anhalt und Mecklenburg-Vorpommern, an.</w:t>
      </w:r>
    </w:p>
    <w:p>
      <w:r>
        <w:rPr>
          <w:color w:val="555555"/>
          <w:sz w:val="17"/>
        </w:rPr>
        <w:t xml:space="preserve">Zitiervorschlag: § 9 BbgNdG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https://recht.nulegal.eu/gesetze/BbgNdG/9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