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BbgNdG (Brandenburg) — Inkrafttreten</w:t>
      </w:r>
    </w:p>
    <w:p>
      <w:r>
        <w:rPr>
          <w:color w:val="555555"/>
          <w:sz w:val="18"/>
        </w:rPr>
        <w:t xml:space="preserve">Brandenburgisches Niederdeutsch-Gesetz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Dieses Gesetz tritt am Tag nach der Verkündung in Kraft.</w:t>
      </w:r>
    </w:p>
    <w:p>
      <w:r>
        <w:t xml:space="preserve">Potsdam, den 9. Juli 2024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Dr. Ulrike Liedtke</w:t>
      </w:r>
    </w:p>
    <w:p>
      <w:r>
        <w:rPr>
          <w:color w:val="555555"/>
          <w:sz w:val="17"/>
        </w:rPr>
        <w:t xml:space="preserve">Zitiervorschlag: § 12 BbgNdG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https://recht.nulegal.eu/gesetze/BbgNdG/12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