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11 BbgNdG (Brandenburg) — Verkündung</w:t>
      </w:r>
    </w:p>
    <w:p>
      <w:r>
        <w:rPr>
          <w:color w:val="555555"/>
          <w:sz w:val="18"/>
        </w:rPr>
        <w:t xml:space="preserve">Brandenburgisches Niederdeutsch-Gesetz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30.07.2026 (konsolidierte Textfassung, kein amtliches Inkrafttretensdatum)</w:t>
      </w:r>
    </w:p>
    <w:p>
      <w:r>
        <w:t xml:space="preserve">Dieses Gesetz wird in hochdeutscher Sprache verkündet und als Anlage eine niederdeutsche Fassung beigefügt.</w:t>
      </w:r>
    </w:p>
    <w:p>
      <w:r>
        <w:rPr>
          <w:color w:val="555555"/>
          <w:sz w:val="17"/>
        </w:rPr>
        <w:t xml:space="preserve">Zitiervorschlag: § 11 BbgNdG (Brandenburg)</w:t>
      </w:r>
    </w:p>
    <w:p>
      <w:r>
        <w:rPr>
          <w:color w:val="555555"/>
          <w:sz w:val="17"/>
        </w:rPr>
        <w:t xml:space="preserve">Quelle: BRAVORS, abgerufen 29.07.2026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https://recht.nulegal.eu/gesetze/BbgNdG/11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