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BbgNdG (Brandenburg) — Verordnungsermächtigungen</w:t>
      </w:r>
    </w:p>
    <w:p>
      <w:r>
        <w:rPr>
          <w:color w:val="555555"/>
          <w:sz w:val="18"/>
        </w:rPr>
        <w:t xml:space="preserve">Brandenburgisches Niederdeutsch-Gesetz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Inneres zuständige Mitglied der Landesregierung wird ermächtigt, im Benehmen mit dem für Inneres zuständigen Ausschuss des Landtages und nach Anhörung des Dachverbandes nach § 3 durch Rechtsverordnung das Nähere zur Durchführung von § 2 Absatz 4 sowie § 6 Absatz 2 und 3 zu regeln.</w:t>
      </w:r>
    </w:p>
    <w:p>
      <w:r>
        <w:t xml:space="preserve">(2) Das für Schule und Kindertagesstätten zuständige Mitglied der Landesregierung wird ermächtigt, im Benehmen mit dem für Schule und Kindertagesstätten zuständigen Ausschuss des Landtages und nach Anhörung des Dachverbandes nach § 3 durch Rechtsverordnung das Nähere zur Durchführung von § 7 zu regeln.</w:t>
      </w:r>
    </w:p>
    <w:p>
      <w:r>
        <w:t xml:space="preserve">(3) Das für Verkehr zuständige Mitglied der Landesregierung wird ermächtigt, im Benehmen mit dem für Verkehr zuständigen Ausschuss des Landtages und nach Anhörung des Dachverbandes nach § 3 durch Rechtsverordnung das Nähere zu § 8 Absatz 1 zu regeln.</w:t>
      </w:r>
    </w:p>
    <w:p>
      <w:r>
        <w:rPr>
          <w:color w:val="555555"/>
          <w:sz w:val="17"/>
        </w:rPr>
        <w:t xml:space="preserve">Zitiervorschlag: § 10 BbgNdG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https://recht.nulegal.eu/gesetze/BbgNdG/10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