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BbgNatSchAG (Brandenburg) — Landschaftspläne, Grünordnungspläne (zu § 11 BNatSchG)</w:t>
      </w:r>
    </w:p>
    <w:p>
      <w:r>
        <w:rPr>
          <w:color w:val="555555"/>
          <w:sz w:val="18"/>
        </w:rPr>
        <w:t xml:space="preserve">Brandenburgisches Naturschutzausführungsgesetz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Landschaftspläne im Sinne des § 11 Absatz 1 des Bundesnaturschutzgesetzes stellen die Gemeinden für ihr Gebiet auf. Bei der Aufstellung von Landschaftsplänen sind die betroffenen Behörden und die Öffentlichkeit entsprechend § 4 Absatz 5 zu beteiligen. Die Gemeinden können für Teile des Gemeindegebietes Grünordnungspläne aufstellen. Bei der Aufstellung von Grünordnungsplänen kann auf die in § 9 Absatz 3 Satz 1 Nummer 1 bis 3 des Bundesnaturschutzgesetzes aufgeführten Darstellungen verzichtet werden. Für das Verhältnis von Grünordnungsplänen zu Bauleitplänen ist § 11 Absatz 3 des Bundesnaturschutzgesetzes entsprechend anzuwenden.</w:t>
      </w:r>
    </w:p>
    <w:p>
      <w:r>
        <w:t xml:space="preserve">(2) In Landschafts- und Grünordnungsplänen nach Absatz 1 sind für den besiedelten wie für den unbesiedelten Bereich unter besonderer Berücksichtigung der Pflichten nach § 15 Absatz 2 des Bundesnaturschutzgesetzes die Zweckbestimmung von Flächen sowie Schutz-, Pflege- und Entwicklungsmaßnahmen darzustellen und zwar insbesondere</w:t>
      </w:r>
    </w:p>
    <w:p>
      <w:r>
        <w:t xml:space="preserve">für den Arten- und Biotopschutz unter Berücksichtigung der Ausbreitungslinien von Tieren und Pflanzen wild lebender Arten, insbesondere der besonders geschützten Arten,</w:t>
      </w:r>
    </w:p>
    <w:p>
      <w:r>
        <w:t xml:space="preserve">für Freiflächen, die zur Erhaltung oder Verbesserung des örtlichen Klimas von Bedeutung sind; dabei kommt dem Aufbau einer nachhaltigen Energieversorgung insbesondere durch zunehmende Nutzung erneuerbarer Energien nach § 1 Absatz 3 Nummer 4 des Bundesnaturschutzgesetzes eine besondere Bedeutung zu,</w:t>
      </w:r>
    </w:p>
    <w:p>
      <w:r>
        <w:t xml:space="preserve">zur Vermeidung von Bodenerosionen, zur Regeneration von Böden sowie zur Erhaltung und Förderung eines günstigen Bodenzustandes,</w:t>
      </w:r>
    </w:p>
    <w:p>
      <w:r>
        <w:t xml:space="preserve">zur Erhaltung oder Verbesserung des Grundwasserdargebots, Wasserrückhaltung und Renaturierung von Gewässern,</w:t>
      </w:r>
    </w:p>
    <w:p>
      <w:r>
        <w:t xml:space="preserve">zur Erhaltung der für Brandenburg typischen Landschafts- und Ortsbilder sowie zur Beseitigung von Anlagen, die das Landschaftsbild beeinträchtigen und auf Dauer nicht mehr genutzt werden,</w:t>
      </w:r>
    </w:p>
    <w:p>
      <w:r>
        <w:t xml:space="preserve">zur Errichtung von Erholungs- und Grünanlagen, Kleingärten, Wander-, Rad- und Reitwegen sowie landschaftsgebundenen Sportanlagen,</w:t>
      </w:r>
    </w:p>
    <w:p>
      <w:r>
        <w:t xml:space="preserve">zur Anlage oder Anpflanzung von Flurgehölzen, Hecken, Büschen, Schutzpflanzungen, Alleen, Baumgruppen oder Einzelbäumen,</w:t>
      </w:r>
    </w:p>
    <w:p>
      <w:r>
        <w:t xml:space="preserve">zur Erhaltung und Pflege von Baumbeständen und Grünflächen.</w:t>
      </w:r>
    </w:p>
    <w:p>
      <w:r>
        <w:t xml:space="preserve">Die naturschutzrechtlichen Darstellungen des Grünordnungsplans zum Schutz, zur Pflege und zur Entwicklung von Boden, Natur und Landschaft, die nicht die Voraussetzungen des § 9 Absatz 1 des Baugesetzbuches erfüllen, können auf der Grundlage des § 9 Absatz 4 des Baugesetzbuches als Festsetzungen in den Bebauungsplan aufgenommen werden. Für diese Festsetzungen sind die Verfahrensvorschriften des Baugesetzbuches entsprechend anzuwenden. Die Landschafts- und Grünordnungspläne sollen die Darstellungen der Bewirtschaftungspläne im Sinne des § 32 Absatz 5 des Bundesnaturschutzgesetzes berücksichtigen, soweit sie hierfür geeignet sind.</w:t>
      </w:r>
    </w:p>
    <w:p>
      <w:r>
        <w:t xml:space="preserve">(3) Soweit kein Bebauungsplan aufgestellt wird, kann die Gemeinde einen Grünordnungsplan als Satzung beschließen. In diesem sind die Zweckbestimmung für Flächen und Schutz-, Pflege- und Entwicklungsmaßnahmen im Sinne von Absatz 2 sowie die zur Erreichung der Ziele des Naturschutzes und der Landschaftspflege erforderlichen Ge- und Verbote festzusetzen. Für das Verfahren zur Aufstellung von Grünordnungsplänen nach Satz 1 gelten die Vorschriften des Baugesetzbuches für Bebauungspläne mit Ausnahme des § 10 Absatz 2 des Baugesetzbuches sowie die Vorschriften über die Veränderungssperre entsprechend. Eine Veränderungssperre kann ausgesprochen werden, wenn zu befürchten ist, dass durch Veränderungen der Zweck beabsichtigter Schutz-, Pflege- und Entwicklungsmaßnahmen gefährdet würde.</w:t>
      </w:r>
    </w:p>
    <w:p>
      <w:r>
        <w:t xml:space="preserve">(4) Bei der Aufstellung von Landschafts- und Grünordnungsplänen durch kreisangehörige Gemeinden ist die untere Naturschutzbehörde und bei der Aufstellung durch kreisfreie Städte die Fachbehörde für Naturschutz und Landschaftspflege zu beteiligen.</w:t>
      </w:r>
    </w:p>
    <w:p>
      <w:r>
        <w:rPr>
          <w:color w:val="555555"/>
          <w:sz w:val="17"/>
        </w:rPr>
        <w:t xml:space="preserve">Zitiervorschlag: § 5 BbgNatSchAG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https://recht.nulegal.eu/gesetze/BbgNatSchAG/5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