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41 BbgNatSchAG (Brandenburg) — Einziehung</w:t>
      </w:r>
    </w:p>
    <w:p>
      <w:r>
        <w:rPr>
          <w:color w:val="555555"/>
          <w:sz w:val="18"/>
        </w:rPr>
        <w:t xml:space="preserve">Brandenburgisches Naturschutzausführungsgesetz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Ist eine Ordnungswidrigkeit nach diesem Gesetz begangen worden, so können Gegenstände, auf die sich die Ordnungswidrigkeit bezieht oder die zu ihrer Begehung oder Vorbereitung gebraucht worden oder bestimmt gewesen sind, eingezogen werden. § 23 des Gesetzes über Ordnungswidrigkeiten ist anzuwenden.</w:t>
      </w:r>
    </w:p>
    <w:p>
      <w:r>
        <w:rPr>
          <w:color w:val="555555"/>
          <w:sz w:val="17"/>
        </w:rPr>
        <w:t xml:space="preserve">Zitiervorschlag: § 41 BbgNatSchAG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https://recht.nulegal.eu/gesetze/BbgNatSchAG/41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