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BbgNatSchAG (Brandenburg) — Mitwirkung von anerkannten Naturschutzvereinigungen (zu § 63 BNatSchG)</w:t>
      </w:r>
    </w:p>
    <w:p>
      <w:r>
        <w:rPr>
          <w:color w:val="555555"/>
          <w:sz w:val="18"/>
        </w:rPr>
        <w:t xml:space="preserve">Brandenburgisches Naturschutzausführungsgesetz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In den Fällen des § 63 Absatz 2 des Bundesnaturschutzgesetzes kann von einer Beteiligung der anerkannten Naturschutzvereinigungen abgesehen werden, wenn Auswirkungen auf Natur und Landschaft nicht oder nur in geringem Umfang zu erwarten sind.</w:t>
      </w:r>
    </w:p>
    <w:p>
      <w:r>
        <w:rPr>
          <w:color w:val="555555"/>
          <w:sz w:val="17"/>
        </w:rPr>
        <w:t xml:space="preserve">Zitiervorschlag: § 36 BbgNatSchAG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https://recht.nulegal.eu/gesetze/BbgNatSchAG/36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