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BbgNatSchAG (Brandenburg) — Tiergehege (zu § 43 BNatSchG)</w:t>
      </w:r>
    </w:p>
    <w:p>
      <w:r>
        <w:rPr>
          <w:color w:val="555555"/>
          <w:sz w:val="18"/>
        </w:rPr>
        <w:t xml:space="preserve">Brandenburgisches Naturschutzausführungsgesetz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Anzeigepflicht des § 43 Absatz 3 des Bundesnaturschutzgesetzes gilt nicht für</w:t>
      </w:r>
    </w:p>
    <w:p>
      <w:r>
        <w:t xml:space="preserve">Gehege, die unter staatlicher Aufsicht stehen, insbesondere in denen Tiere wild lebender Arten zu Zwecken der Wiederansiedlung im Rahmen eines Artenschutzprogramms der Fachbehörde für Naturschutz und Landschaftspflege gehalten werden,</w:t>
      </w:r>
    </w:p>
    <w:p>
      <w:r>
        <w:t xml:space="preserve">Gehege, die nur für kurze Zeit aufgestellt werden, insbesondere Volieren zur Auswilderung von nicht gebietsfremdem, heimischem Federwild,</w:t>
      </w:r>
    </w:p>
    <w:p>
      <w:r>
        <w:t xml:space="preserve">Anlagen der Teichwirtschaft und Fischzucht,</w:t>
      </w:r>
    </w:p>
    <w:p>
      <w:r>
        <w:t xml:space="preserve">Gehege zur Haltung von heimischem Schalenwild nach § 2 des Bundesjagdgesetzes und</w:t>
      </w:r>
    </w:p>
    <w:p>
      <w:r>
        <w:t xml:space="preserve">sonstige Gehege, wenn eine Größe von insgesamt 1 000 m 2 nicht überschritten wird.</w:t>
      </w:r>
    </w:p>
    <w:p>
      <w:r>
        <w:t xml:space="preserve">Das für Naturschutz und Landschaftspflege zuständige Mitglied der Landesregierung wird ermächtigt, durch Rechtsverordnung weitere Gehege von der Anzeigepflicht nach § 43 Absatz 3 des Bundesnaturschutzgesetzes unter den Voraussetzungen des § 43 Absatz 4 des Bundesnaturschutzgesetzes auszunehmen.</w:t>
      </w:r>
    </w:p>
    <w:p>
      <w:r>
        <w:rPr>
          <w:color w:val="555555"/>
          <w:sz w:val="17"/>
        </w:rPr>
        <w:t xml:space="preserve">Zitiervorschlag: § 21 BbgNatSchAG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https://recht.nulegal.eu/gesetze/BbgNatSchAG/21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