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BbgNatSchAG (Brandenburg) — Horststandorte (zu § 54 Absatz 7 BNatSchG)</w:t>
      </w:r>
    </w:p>
    <w:p>
      <w:r>
        <w:rPr>
          <w:color w:val="555555"/>
          <w:sz w:val="18"/>
        </w:rPr>
        <w:t xml:space="preserve">Brandenburgisches Naturschutzausführungsgesetz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Zum Schutz der Horststandorte der Adler, Wanderfalken, Korn- und Wiesenweihen, Schwarzstörche, Kraniche, Sumpfohreulen und Uhus ist es verboten,</w:t>
      </w:r>
    </w:p>
    <w:p>
      <w:r>
        <w:t xml:space="preserve">im Umkreis von 100 Metern um den Horststandort Bestockungen abzutreiben oder den Charakter des Gebietes sonst zu verändern,</w:t>
      </w:r>
    </w:p>
    <w:p>
      <w:r>
        <w:t xml:space="preserve">im Umkreis von 300 Metern um den Horststandort in der Zeit vom 1. Februar bis zum 31. August</w:t>
      </w:r>
    </w:p>
    <w:p>
      <w:r>
        <w:t xml:space="preserve">land- und forstwirtschaftliche Maßnahmen unter Maschineneinsatz durchzuführen oder</w:t>
      </w:r>
    </w:p>
    <w:p>
      <w:r>
        <w:t xml:space="preserve">die Jagd auszuüben, mit Ausnahme der Nachsuche,</w:t>
      </w:r>
    </w:p>
    <w:p>
      <w:r>
        <w:t xml:space="preserve">im Umkreis von 300 Metern um den Horststandort jagdliche Einrichtungen zu bauen.</w:t>
      </w:r>
    </w:p>
    <w:p>
      <w:r>
        <w:t xml:space="preserve">Satz 1 gilt, mit Ausnahme des Verbots in Nummer 2 Buchstabe b, nicht für Fischadler, deren Horste sich auf Masten in der bewirtschafteten Feldflur befinden, sowie für Kraniche, die in der bewirtschafteten Feldflur nisten. Die Schutzfrist in Satz 1 Nummer 2 beginnt um die Horststandorte der Seeadler und Uhus bereits am 1. Januar; sie endet um den Nistplatz der Kraniche bereits am 30. Juni.</w:t>
      </w:r>
    </w:p>
    <w:p>
      <w:r>
        <w:t xml:space="preserve">(2) Auf Antrag einer durch Absatz 1 in ihren Rechten betroffenen Person überprüft die zuständige Naturschutzbehörde im Einzelfall die Schutzbestimmungen nach Absatz 1. Nach Beratung durch die Fachbehörde für Naturschutz und Landschaftspflege kann sie die Schutzzonen nach Absatz 1 Satz 1 Nummer 1 bis 3 oder die Schutzfristen nach Absatz 1 Satz 1 Nummer 2 und Satz 3 verändern, sofern der Schutzzweck dadurch nicht beeinträchtigt wird; sie kann zum Schutz der Schreiadler und Schwarzstörche im Einzelfall die Schutzzonen erweitern oder die Schutzfristen verlängern.</w:t>
      </w:r>
    </w:p>
    <w:p>
      <w:r>
        <w:rPr>
          <w:color w:val="555555"/>
          <w:sz w:val="17"/>
        </w:rPr>
        <w:t xml:space="preserve">Zitiervorschlag: § 19 BbgNatSchAG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https://recht.nulegal.eu/gesetze/BbgNatSchAG/19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