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BbgNatSchAG (Brandenburg) — Schutz bestimmter Biotope (zu § 30 BNatSchG)</w:t>
      </w:r>
    </w:p>
    <w:p>
      <w:r>
        <w:rPr>
          <w:color w:val="555555"/>
          <w:sz w:val="18"/>
        </w:rPr>
        <w:t xml:space="preserve">Brandenburgisches Naturschutzausführungsgesetz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Verbote des § 30 Absatz 2 des Bundesnaturschutzgesetzes gelten auch für Feuchtwiesen, Lesesteinhaufen, Streuobstbestände, Moorwälder, Hangwälder und Restbestockungen anderer natürlicher Waldgesellschaften.</w:t>
      </w:r>
    </w:p>
    <w:p>
      <w:r>
        <w:t xml:space="preserve">(2) Ergänzend zu § 30 Absatz 2 des Bundesnaturschutzgesetzes gelten als Handlungen, die zu einer erheblichen Beeinträchtigung führen können, insbesondere die Intensivierung oder Änderung der Nutzung der geschützten Biotope und der Eintrag von Stoffen, die geeignet sind, das Biotop nachteilig zu beeinflussen.</w:t>
      </w:r>
    </w:p>
    <w:p>
      <w:r>
        <w:t xml:space="preserve">(3) Das für Naturschutz und Landschaftspflege zuständige Mitglied der Landesregierung wird ermächtigt, durch Rechtsverordnung die in Absatz 1 und § 30 Absatz 2 des Bundesnaturschutzgesetzes aufgeführten Biotope näher zu umschreiben und festzulegen, in welcher Ausprägung sie geschützt sind.</w:t>
      </w:r>
    </w:p>
    <w:p>
      <w:r>
        <w:t xml:space="preserve">(4) Die zuständige Naturschutzbehörde führt ein Verzeichnis der gesetzlich geschützten Biotope und schreibt es fort. Das Verzeichnis soll auf geeignete Weise, insbesondere über elektronische Medien, für jedermann einsehbar gemacht werden.</w:t>
      </w:r>
    </w:p>
    <w:p>
      <w:r>
        <w:rPr>
          <w:color w:val="555555"/>
          <w:sz w:val="17"/>
        </w:rPr>
        <w:t xml:space="preserve">Zitiervorschlag: § 18 BbgNatSchAG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https://recht.nulegal.eu/gesetze/BbgNatSchAG/18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