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BbgNatSchAG (Brandenburg) — Schutz Europäischer Vogelschutzgebiete</w:t>
      </w:r>
    </w:p>
    <w:p>
      <w:r>
        <w:rPr>
          <w:color w:val="555555"/>
          <w:sz w:val="18"/>
        </w:rPr>
        <w:t xml:space="preserve">Brandenburgisches Naturschutzausführungsgesetz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in der Anlage 1 aufgeführten Europäischen Vogelschutzgebiete werden nach Maßgabe des § 33 Absatz 1 Satz 1 des Bundesnaturschutzgesetzes besonders geschützt. Sie sind in der als Anlage 2 beigefügten Übersichtskarte im Maßstab 1 : 300 000 mit dunkelgrüner Farbe dargestellt. Zweck des Schutzes der in Anlage 1 genannten Gebiete ist die Erhaltung oder Wiederherstellung eines günstigen Erhaltungszustandes der für die jeweiligen Gebiete aufgeführten europäischen Vogelarten. Für die Gebiete gelten die in der Anlage 1 genannten Erhaltungsziele. Die Gebietsabgrenzungen sind in den in Anlage 3 aufgeführten topografischen Karten im Maßstab 1 : 50 000 eingezeichnet und mit dunkelgrüner Farbe dargestellt. Eine Blattschnittübersicht ist als Anlage 4 beigefügt. Anlage 5 führt die bereits gemäß § 32 Absatz 2 des Bundesnaturschutzgesetzes unter Schutz gestellten Europäischen Vogelschutzgebiete auf.</w:t>
      </w:r>
    </w:p>
    <w:p>
      <w:r>
        <w:t xml:space="preserve">(2) Das für Naturschutz und Landschaftspflege zuständige Mitglied der Landesregierung wird ermächtigt, durch Rechtsverordnungtspflege zuständige Mitglied der Landesregierung wird ermächtigt, durch Rechtsverordnung</w:t>
      </w:r>
    </w:p>
    <w:p>
      <w:r>
        <w:t xml:space="preserve">die in der Anlage 1 dargestellten Erhaltungsziele zu ändern,</w:t>
      </w:r>
    </w:p>
    <w:p>
      <w:r>
        <w:t xml:space="preserve">die Gebietsabgrenzungen in den in der Anlage 3 aufgeführten topografischen Karten zu ändern, wenn und soweit Gebietsänderungen nach Artikel 4 der Richtlinie 2009/147/EG notwendig werden,</w:t>
      </w:r>
    </w:p>
    <w:p>
      <w:r>
        <w:t xml:space="preserve">die Gebietsabgrenzungen in den in der Anlage 3 aufgeführten topografischen Karten auf Karten im Maßstab von mindestens 1 : 10 000 umzutragen.</w:t>
      </w:r>
    </w:p>
    <w:p>
      <w:r>
        <w:t xml:space="preserve">(3) Soweit bei Inkrafttreten dieses Gesetzes bereits erlassene Schutzerklärungen Europäische Vogelschutzgebiete umfassen, gelten als deren Schutzzweck jeweils auch die in der Anlage 1 zu den jeweiligen Europäischen Vogelschutzgebieten aufgeführten Erhaltungsziele.</w:t>
      </w:r>
    </w:p>
    <w:p>
      <w:r>
        <w:rPr>
          <w:color w:val="555555"/>
          <w:sz w:val="17"/>
        </w:rPr>
        <w:t xml:space="preserve">Zitiervorschlag: § 15 BbgNatSchAG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https://recht.nulegal.eu/gesetze/BbgNatSchAG/15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