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BbgNRG (Brandenburg) — Vergütung im Fall des Anbaus</w:t>
      </w:r>
    </w:p>
    <w:p>
      <w:r>
        <w:rPr>
          <w:color w:val="555555"/>
          <w:sz w:val="18"/>
        </w:rPr>
        <w:t xml:space="preserve">Brandenburgisches Nachbarrechtsgesetz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anbauende Nachbar hat dem Eigentümer des zuerst</w:t>
      </w:r>
    </w:p>
    <w:p>
      <w:r>
        <w:t xml:space="preserve">bebauten Grundstücks den halben Wert der Nachbarwand zu vergüten,</w:t>
      </w:r>
    </w:p>
    <w:p>
      <w:r>
        <w:t xml:space="preserve">soweit sie durch den Anbau genutzt wird.</w:t>
      </w:r>
    </w:p>
    <w:p>
      <w:r>
        <w:t xml:space="preserve">(2) Die Vergütung ermäßigt sich angemessen,</w:t>
      </w:r>
    </w:p>
    <w:p>
      <w:r>
        <w:t xml:space="preserve">wenn die besondere Bauart oder Bemessung der Nachbarwand nicht erforderlich</w:t>
      </w:r>
    </w:p>
    <w:p>
      <w:r>
        <w:t xml:space="preserve">oder nur für das zuerst errichtete Bauwerk erforderlich war. Sie</w:t>
      </w:r>
    </w:p>
    <w:p>
      <w:r>
        <w:t xml:space="preserve">erhöht sich angemessen, wenn die besondere Bauart oder Bemessung der</w:t>
      </w:r>
    </w:p>
    <w:p>
      <w:r>
        <w:t xml:space="preserve">Nachbarwand nur für das später errichtete Bauwerk erforderlich war.</w:t>
      </w:r>
    </w:p>
    <w:p>
      <w:r>
        <w:t xml:space="preserve">(3) Steht die Nachbarwand mehr auf dem Nachbargrundstück,</w:t>
      </w:r>
    </w:p>
    <w:p>
      <w:r>
        <w:t xml:space="preserve">als in § 6 vorgesehen oder davon abweichend vereinbart ist, so</w:t>
      </w:r>
    </w:p>
    <w:p>
      <w:r>
        <w:t xml:space="preserve">ermäßigt sich die Vergütung um den Wert des zusätzlich</w:t>
      </w:r>
    </w:p>
    <w:p>
      <w:r>
        <w:t xml:space="preserve">überbauten Bodens, wenn nicht die in § 912 Abs. 2 oder § 915 des</w:t>
      </w:r>
    </w:p>
    <w:p>
      <w:r>
        <w:t xml:space="preserve">Bürgerlichen Gesetzbuchs bestimmten Rechte ausgeübt werden. Steht die</w:t>
      </w:r>
    </w:p>
    <w:p>
      <w:r>
        <w:t xml:space="preserve">Nachbarwand weniger auf dem Nachbargrundstück, als in § 6 vorgesehen</w:t>
      </w:r>
    </w:p>
    <w:p>
      <w:r>
        <w:t xml:space="preserve">oder davon abweichend vereinbart ist, so erhöht sich die Vergütung um</w:t>
      </w:r>
    </w:p>
    <w:p>
      <w:r>
        <w:t xml:space="preserve">den Wert des Bodens, den die Nachbarwand anderenfalls auf dem</w:t>
      </w:r>
    </w:p>
    <w:p>
      <w:r>
        <w:t xml:space="preserve">Nachbargrundstück zusätzlich benötigt hätte.</w:t>
      </w:r>
    </w:p>
    <w:p>
      <w:r>
        <w:t xml:space="preserve">(4) Die Vergütung wird mit der Fertigstellung des Anbaus</w:t>
      </w:r>
    </w:p>
    <w:p>
      <w:r>
        <w:t xml:space="preserve">im Rohbau fällig. Bei der Berechnung des Wertes der Nachbarwand ist von</w:t>
      </w:r>
    </w:p>
    <w:p>
      <w:r>
        <w:t xml:space="preserve">den zu diesem Zeitpunkt üblichen Baukosten auszugehen. Das Alter sowie der</w:t>
      </w:r>
    </w:p>
    <w:p>
      <w:r>
        <w:t xml:space="preserve">bauliche Zustand der Nachbarwand sind zu berücksichtigen. Auf Verlangen</w:t>
      </w:r>
    </w:p>
    <w:p>
      <w:r>
        <w:t xml:space="preserve">ist Sicherheit in Höhe der voraussichtlichen Vergütung zu leisten;</w:t>
      </w:r>
    </w:p>
    <w:p>
      <w:r>
        <w:t xml:space="preserve">der Anbau darf dann erst nach Leistung der Sicherheit begonnen oder fortgesetzt</w:t>
      </w:r>
    </w:p>
    <w:p>
      <w:r>
        <w:t xml:space="preserve">werden.</w:t>
      </w:r>
    </w:p>
    <w:p>
      <w:r>
        <w:rPr>
          <w:color w:val="555555"/>
          <w:sz w:val="17"/>
        </w:rPr>
        <w:t xml:space="preserve">Zitiervorschlag: § 9 BbgNRG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https://recht.nulegal.eu/gesetze/BbgNRG/9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