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BbgNRG (Brandenburg) — Anbau an die Nachbarwand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Nachbar ist berechtigt, an die Nachbarwand anzubauen.</w:t>
      </w:r>
    </w:p>
    <w:p>
      <w:r>
        <w:t xml:space="preserve">Anbau ist die Mitbenutzung der Wand als Abschlußwand oder zur</w:t>
      </w:r>
    </w:p>
    <w:p>
      <w:r>
        <w:t xml:space="preserve">Unterstützung oder Aussteifung des neuen Bauwerks.</w:t>
      </w:r>
    </w:p>
    <w:p>
      <w:r>
        <w:t xml:space="preserve">(2) Setzt der Anbau eine tiefere Gründung der Nachbarwand</w:t>
      </w:r>
    </w:p>
    <w:p>
      <w:r>
        <w:t xml:space="preserve">voraus, so darf die Nachbarwand unterfangen oder der Boden im Bereich der</w:t>
      </w:r>
    </w:p>
    <w:p>
      <w:r>
        <w:t xml:space="preserve">Gründung der Nachbarwand verfestigt werden, wenn</w:t>
      </w:r>
    </w:p>
    <w:p>
      <w:r>
        <w:t xml:space="preserve">es nach den allgemein anerkannten Regeln der Baukunst unumgänglich</w:t>
      </w:r>
    </w:p>
    <w:p>
      <w:r>
        <w:t xml:space="preserve">ist oder nur mit unzumutbar hohen Kosten vermieden werden könnte,</w:t>
      </w:r>
    </w:p>
    <w:p>
      <w:r>
        <w:t xml:space="preserve">nur geringfügige Beeinträchtigungen des zuerst errichteten</w:t>
      </w:r>
    </w:p>
    <w:p>
      <w:r>
        <w:t xml:space="preserve">Bauwerks zu besorgen sind und</w:t>
      </w:r>
    </w:p>
    <w:p>
      <w:r>
        <w:t xml:space="preserve">das Bauvorhaben öffentlich-rechtlich zulässig oder zugelassen</w:t>
      </w:r>
    </w:p>
    <w:p>
      <w:r>
        <w:t xml:space="preserve">worden ist.</w:t>
      </w:r>
    </w:p>
    <w:p>
      <w:r>
        <w:rPr>
          <w:color w:val="555555"/>
          <w:sz w:val="17"/>
        </w:rPr>
        <w:t xml:space="preserve">Zitiervorschlag: § 7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