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61 BbgNRG (Brandenburg) — Übergangsvorschriften</w:t>
      </w:r>
    </w:p>
    <w:p>
      <w:r>
        <w:rPr>
          <w:color w:val="555555"/>
          <w:sz w:val="18"/>
        </w:rPr>
        <w:t xml:space="preserve">Brandenburgisches Nachbarrechtsgesetz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Der Umfang von Rechten, die bei Inkrafttreten dieses</w:t>
      </w:r>
    </w:p>
    <w:p>
      <w:r>
        <w:t xml:space="preserve">Gesetzes bestehen, richtet sich unbeschadet der Vorschrift des Absatzes 2 nach</w:t>
      </w:r>
    </w:p>
    <w:p>
      <w:r>
        <w:t xml:space="preserve">diesem Gesetz.</w:t>
      </w:r>
    </w:p>
    <w:p>
      <w:r>
        <w:t xml:space="preserve">(2) Der Anspruch auf Beseitigung von Pflanzen, die bei</w:t>
      </w:r>
    </w:p>
    <w:p>
      <w:r>
        <w:t xml:space="preserve">Inkrafttreten des Gesetzes vorhanden sind und deren Grenzabstände den</w:t>
      </w:r>
    </w:p>
    <w:p>
      <w:r>
        <w:t xml:space="preserve">Vorschriften dieses Gesetzes nicht entsprechen, ist ausgeschlossen, wenn</w:t>
      </w:r>
    </w:p>
    <w:p>
      <w:r>
        <w:t xml:space="preserve">der Nachbar nicht innerhalb eines Jahres nach Inkrafttreten dieses</w:t>
      </w:r>
    </w:p>
    <w:p>
      <w:r>
        <w:t xml:space="preserve">Gesetzes Klage auf Beseitigung erhoben hat oder</w:t>
      </w:r>
    </w:p>
    <w:p>
      <w:r>
        <w:t xml:space="preserve">die Pflanzen dem bisherigen Recht entsprechen.</w:t>
      </w:r>
    </w:p>
    <w:p>
      <w:r>
        <w:t xml:space="preserve">(3) Ansprüche auf Zahlung aufgrund dieses Gesetzes</w:t>
      </w:r>
    </w:p>
    <w:p>
      <w:r>
        <w:t xml:space="preserve">bestehen nur, wenn das den Anspruch begründende Ereignis nach</w:t>
      </w:r>
    </w:p>
    <w:p>
      <w:r>
        <w:t xml:space="preserve">Inkrafttreten dieses Gesetzes eingetreten ist; anderenfalls behält es bei</w:t>
      </w:r>
    </w:p>
    <w:p>
      <w:r>
        <w:t xml:space="preserve">dem bisherigen Recht sein Bewenden.</w:t>
      </w:r>
    </w:p>
    <w:p>
      <w:r>
        <w:rPr>
          <w:color w:val="555555"/>
          <w:sz w:val="17"/>
        </w:rPr>
        <w:t xml:space="preserve">Zitiervorschlag: § 61 BbgNRG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https://recht.nulegal.eu/gesetze/BbgNRG/61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