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BbgNRG (Brandenburg) — Errichten und Beschaffenheit der Nachbarwand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Nachbarwand darf nur errichtet werden, wenn die</w:t>
      </w:r>
    </w:p>
    <w:p>
      <w:r>
        <w:t xml:space="preserve">Errichtung baurechtlich zulässig ist und beide Nachbarn die Errichtung</w:t>
      </w:r>
    </w:p>
    <w:p>
      <w:r>
        <w:t xml:space="preserve">schriftlich vereinbart sowie grundbuchrechtlich gesichert haben.</w:t>
      </w:r>
    </w:p>
    <w:p>
      <w:r>
        <w:t xml:space="preserve">(2) Die Nachbarwand ist in einer solchen Bauart und Bemessung</w:t>
      </w:r>
    </w:p>
    <w:p>
      <w:r>
        <w:t xml:space="preserve">auszuführen, daß sie den Bauvorhaben beider Nachbarn genügt.</w:t>
      </w:r>
    </w:p>
    <w:p>
      <w:r>
        <w:t xml:space="preserve">Der Erbauer braucht die Wand nur für einen Anbau herzurichten, der an sie</w:t>
      </w:r>
    </w:p>
    <w:p>
      <w:r>
        <w:t xml:space="preserve">keine höheren Anforderungen stellt als sein eigenes Bauvorhaben.</w:t>
      </w:r>
    </w:p>
    <w:p>
      <w:r>
        <w:t xml:space="preserve">(3) Erfordert keines der beiden Bauvorhaben eine stärkere</w:t>
      </w:r>
    </w:p>
    <w:p>
      <w:r>
        <w:t xml:space="preserve">Wand als das andere, so darf die Nachbarwand höchstens mit der Hälfte</w:t>
      </w:r>
    </w:p>
    <w:p>
      <w:r>
        <w:t xml:space="preserve">ihrer notwendigen Stärke auf dem Nachbargrundstück errichtet werden.</w:t>
      </w:r>
    </w:p>
    <w:p>
      <w:r>
        <w:t xml:space="preserve">Erfordert ein Bauvorhaben eine stärkere Wand, so ist die Wand zu einem</w:t>
      </w:r>
    </w:p>
    <w:p>
      <w:r>
        <w:t xml:space="preserve">entsprechend größeren Teil auf diesem Grundstück zu errichten.</w:t>
      </w:r>
    </w:p>
    <w:p>
      <w:r>
        <w:rPr>
          <w:color w:val="555555"/>
          <w:sz w:val="17"/>
        </w:rPr>
        <w:t xml:space="preserve">Zitiervorschlag: § 6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