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59 BbgNRG (Brandenburg) — Wegfall der Verpflichtung zur Sicherheitsleistung und zur Anzeige</w:t>
      </w:r>
    </w:p>
    <w:p>
      <w:r>
        <w:rPr>
          <w:color w:val="555555"/>
          <w:sz w:val="18"/>
        </w:rPr>
        <w:t xml:space="preserve">Brandenburgisches Nachbarrechtsgesetz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01.08.2026 (konsolidierte Textfassung, kein amtliches Inkrafttretensdatum)</w:t>
      </w:r>
    </w:p>
    <w:p>
      <w:r>
        <w:t xml:space="preserve">Ist die Ausübung des Rechts nach § 56 Abs. 1 zur</w:t>
      </w:r>
    </w:p>
    <w:p>
      <w:r>
        <w:t xml:space="preserve">Abwendung einer gegenwärtigen erheblichen Gefahr erforderlich, so</w:t>
      </w:r>
    </w:p>
    <w:p>
      <w:r>
        <w:t xml:space="preserve">entfällt die Verpflichtung zur Sicherheitsleistung und zur Anzeige.</w:t>
      </w:r>
    </w:p>
    <w:p>
      <w:r>
        <w:rPr>
          <w:color w:val="555555"/>
          <w:sz w:val="17"/>
        </w:rPr>
        <w:t xml:space="preserve">Zitiervorschlag: § 59 BbgNRG (Brandenburg)</w:t>
      </w:r>
    </w:p>
    <w:p>
      <w:r>
        <w:rPr>
          <w:color w:val="555555"/>
          <w:sz w:val="17"/>
        </w:rPr>
        <w:t xml:space="preserve">Quelle: bravors, abgerufen 01.08.2026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https://recht.nulegal.eu/gesetze/BbgNRG/59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