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BbgNRG (Brandenburg) — Schadensersatz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Schaden, der bei Ausübung des Rechts nach § 56 Abs.</w:t>
      </w:r>
    </w:p>
    <w:p>
      <w:r>
        <w:t xml:space="preserve">1 auf dem betroffenen Grundstück entsteht, ist zu ersetzen; § 15 gilt</w:t>
      </w:r>
    </w:p>
    <w:p>
      <w:r>
        <w:t xml:space="preserve">entsprechend.</w:t>
      </w:r>
    </w:p>
    <w:p>
      <w:r>
        <w:rPr>
          <w:color w:val="555555"/>
          <w:sz w:val="17"/>
        </w:rPr>
        <w:t xml:space="preserve">Zitiervorschlag: § 57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https://recht.nulegal.eu/gesetze/BbgNRG/57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