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BbgNRG (Brandenburg) — Abfluß und Zufluß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Wild abfließendes Wasser ist oberirdisch</w:t>
      </w:r>
    </w:p>
    <w:p>
      <w:r>
        <w:t xml:space="preserve">außerhalb eines Bettes abfließendes Quell- oder</w:t>
      </w:r>
    </w:p>
    <w:p>
      <w:r>
        <w:t xml:space="preserve">Niederschlagswasser.</w:t>
      </w:r>
    </w:p>
    <w:p>
      <w:r>
        <w:t xml:space="preserve">(2) Der Eigentümer und die Nutzungsberechtigten eines</w:t>
      </w:r>
    </w:p>
    <w:p>
      <w:r>
        <w:t xml:space="preserve">Grundstücks dürfen nicht</w:t>
      </w:r>
    </w:p>
    <w:p>
      <w:r>
        <w:t xml:space="preserve">den Abfluß wild abfließenden Wassers auf</w:t>
      </w:r>
    </w:p>
    <w:p>
      <w:r>
        <w:t xml:space="preserve">Nachbargrundstücke verstärken und</w:t>
      </w:r>
    </w:p>
    <w:p>
      <w:r>
        <w:t xml:space="preserve">den Zufluß wild abfließenden Wassers von</w:t>
      </w:r>
    </w:p>
    <w:p>
      <w:r>
        <w:t xml:space="preserve">Nachbargrundstücken auf ihr Grundstück hindern,</w:t>
      </w:r>
    </w:p>
    <w:p>
      <w:r>
        <w:t xml:space="preserve">wenn dadurch die Nachbargrundstücke erheblich</w:t>
      </w:r>
    </w:p>
    <w:p>
      <w:r>
        <w:t xml:space="preserve">beeinträchtigt werden.</w:t>
      </w:r>
    </w:p>
    <w:p>
      <w:r>
        <w:t xml:space="preserve">(3) Der Eigentümer und die Nutzungsberechtigten eines</w:t>
      </w:r>
    </w:p>
    <w:p>
      <w:r>
        <w:t xml:space="preserve">Grundstücks dürfen den Abfluß von Niederschlagswasser von ihrem</w:t>
      </w:r>
    </w:p>
    <w:p>
      <w:r>
        <w:t xml:space="preserve">Grundstück auf Nachbargrundstücke mindern oder unterbinden.</w:t>
      </w:r>
    </w:p>
    <w:p>
      <w:r>
        <w:rPr>
          <w:color w:val="555555"/>
          <w:sz w:val="17"/>
        </w:rPr>
        <w:t xml:space="preserve">Zitiervorschlag: § 55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