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BbgNRG (Brandenburg) — Abwässer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Eigentümer und die Nutzungsberechtigten eines</w:t>
      </w:r>
    </w:p>
    <w:p>
      <w:r>
        <w:t xml:space="preserve">Grundstücks dürfen ihre baulichen Anlagen nicht so einrichten,</w:t>
      </w:r>
    </w:p>
    <w:p>
      <w:r>
        <w:t xml:space="preserve">daß Abwässer und andere Flüssigkeiten auf das</w:t>
      </w:r>
    </w:p>
    <w:p>
      <w:r>
        <w:t xml:space="preserve">Nachbargrundstück übertreten.</w:t>
      </w:r>
    </w:p>
    <w:p>
      <w:r>
        <w:rPr>
          <w:color w:val="555555"/>
          <w:sz w:val="17"/>
        </w:rPr>
        <w:t xml:space="preserve">Zitiervorschlag: § 54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https://recht.nulegal.eu/gesetze/BbgNRG/54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