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BbgNRG (Brandenburg) — Anbringen von Sammel- und Abflußeinrichtungen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Eigentümer und die Nutzungsberechtigten eines</w:t>
      </w:r>
    </w:p>
    <w:p>
      <w:r>
        <w:t xml:space="preserve">Grundstücks, die aus besonderem Rechtsgrund verpflichtet sind, das von den</w:t>
      </w:r>
    </w:p>
    <w:p>
      <w:r>
        <w:t xml:space="preserve">baulichen Anlagen eines Nachbargrundstücks tropfende oder abgeleitete oder</w:t>
      </w:r>
    </w:p>
    <w:p>
      <w:r>
        <w:t xml:space="preserve">von dem Nachbargrundstück übertretende Niederschlagswasser</w:t>
      </w:r>
    </w:p>
    <w:p>
      <w:r>
        <w:t xml:space="preserve">aufzunehmen, sind berechtigt, auf eigene Kosten besondere Sammel- und</w:t>
      </w:r>
    </w:p>
    <w:p>
      <w:r>
        <w:t xml:space="preserve">Abflußeinrichtungen an der baulichen Anlage des traufberechtigten</w:t>
      </w:r>
    </w:p>
    <w:p>
      <w:r>
        <w:t xml:space="preserve">Nachbarn anzubringen, wenn die damit verbundene Beeinträchtigung nicht</w:t>
      </w:r>
    </w:p>
    <w:p>
      <w:r>
        <w:t xml:space="preserve">erheblich ist. Sie haben diese Einrichtungen zu unterhalten.</w:t>
      </w:r>
    </w:p>
    <w:p>
      <w:r>
        <w:t xml:space="preserve">(2) Für die Verpflichtungen zur Anzeige und zum</w:t>
      </w:r>
    </w:p>
    <w:p>
      <w:r>
        <w:t xml:space="preserve">Schadensersatz gelten die §§ 8 und 15 entsprechend.</w:t>
      </w:r>
    </w:p>
    <w:p>
      <w:r>
        <w:rPr>
          <w:color w:val="555555"/>
          <w:sz w:val="17"/>
        </w:rPr>
        <w:t xml:space="preserve">Zitiervorschlag: § 53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