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BbgNRG (Brandenburg) — Niederschlagswasser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Eigentümer und die Nutzungsberechtigten eines</w:t>
      </w:r>
    </w:p>
    <w:p>
      <w:r>
        <w:t xml:space="preserve">Grundstücks müssen ihre baulichen Anlagen so einrichten, daß</w:t>
      </w:r>
    </w:p>
    <w:p>
      <w:r>
        <w:t xml:space="preserve">Niederschlagswasser nicht auf das Nachbargrundstück tropft oder auf</w:t>
      </w:r>
    </w:p>
    <w:p>
      <w:r>
        <w:t xml:space="preserve">dieses abgeleitet wird und</w:t>
      </w:r>
    </w:p>
    <w:p>
      <w:r>
        <w:t xml:space="preserve">Niederschlagswasser, das auf das eigene Grundstück tropft oder</w:t>
      </w:r>
    </w:p>
    <w:p>
      <w:r>
        <w:t xml:space="preserve">abgeleitet ist, nicht auf das Nachbargrundstück übertritt.</w:t>
      </w:r>
    </w:p>
    <w:p>
      <w:r>
        <w:t xml:space="preserve">(2) Absatz 1 findet keine Anwendung auf freistehende Mauern</w:t>
      </w:r>
    </w:p>
    <w:p>
      <w:r>
        <w:t xml:space="preserve">entlang öffentlicher Straßen und öffentlicher</w:t>
      </w:r>
    </w:p>
    <w:p>
      <w:r>
        <w:t xml:space="preserve">Grünflächen.</w:t>
      </w:r>
    </w:p>
    <w:p>
      <w:r>
        <w:rPr>
          <w:color w:val="555555"/>
          <w:sz w:val="17"/>
        </w:rPr>
        <w:t xml:space="preserve">Zitiervorschlag: § 52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