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BbgNRG (Brandenburg) — Anschluß an Fernheizungen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dieses Abschnitts gelten entsprechend</w:t>
      </w:r>
    </w:p>
    <w:p>
      <w:r>
        <w:t xml:space="preserve">für den Anschluß eines Grundstücks an eine Fernheizung, sofern</w:t>
      </w:r>
    </w:p>
    <w:p>
      <w:r>
        <w:t xml:space="preserve">derjenige, der sein Grundstück anschließen will, einem</w:t>
      </w:r>
    </w:p>
    <w:p>
      <w:r>
        <w:t xml:space="preserve">Anschlußzwang unterliegt.</w:t>
      </w:r>
    </w:p>
    <w:p>
      <w:r>
        <w:rPr>
          <w:color w:val="555555"/>
          <w:sz w:val="17"/>
        </w:rPr>
        <w:t xml:space="preserve">Zitiervorschlag: § 51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BbgNRG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