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BbgNRG (Brandenburg) — Entschädigung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Duldung der Rechtsausübung nach §</w:t>
      </w:r>
    </w:p>
    <w:p>
      <w:r>
        <w:t xml:space="preserve">44 ist der Nachbar durch eine Geldrente zu entschädigen. Die Rente ist</w:t>
      </w:r>
    </w:p>
    <w:p>
      <w:r>
        <w:t xml:space="preserve">jährlich im voraus zu entrichten.</w:t>
      </w:r>
    </w:p>
    <w:p>
      <w:r>
        <w:t xml:space="preserve">(2) Die Höhe der Rente ist nach Billigkeit zu bemessen.</w:t>
      </w:r>
    </w:p>
    <w:p>
      <w:r>
        <w:t xml:space="preserve">Dabei sind die dem Berechtigten durch die Ausübung des Rechts zugute</w:t>
      </w:r>
    </w:p>
    <w:p>
      <w:r>
        <w:t xml:space="preserve">kommenden Einsparungen und der Umfang der Belästigung des Nachbarn</w:t>
      </w:r>
    </w:p>
    <w:p>
      <w:r>
        <w:t xml:space="preserve">angemessen zu berücksichtigen.</w:t>
      </w:r>
    </w:p>
    <w:p>
      <w:r>
        <w:rPr>
          <w:color w:val="555555"/>
          <w:sz w:val="17"/>
        </w:rPr>
        <w:t xml:space="preserve">Zitiervorschlag: § 50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