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BbgNRG (Brandenburg) — Begriff der Nachbarwand</w:t>
      </w:r>
    </w:p>
    <w:p>
      <w:r>
        <w:rPr>
          <w:color w:val="555555"/>
          <w:sz w:val="18"/>
        </w:rPr>
        <w:t xml:space="preserve">Brandenburgisches Nachbarrechtsgesetz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Nachbarwand ist die auf der Grenze zweier Grundstücke</w:t>
      </w:r>
    </w:p>
    <w:p>
      <w:r>
        <w:t xml:space="preserve">errichtete Wand, die den auf diesen Grundstücken errichteten Bauwerken als</w:t>
      </w:r>
    </w:p>
    <w:p>
      <w:r>
        <w:t xml:space="preserve">Abschlußwand oder zur Unterstützung oder Aussteifung dient.</w:t>
      </w:r>
    </w:p>
    <w:p>
      <w:r>
        <w:rPr>
          <w:color w:val="555555"/>
          <w:sz w:val="17"/>
        </w:rPr>
        <w:t xml:space="preserve">Zitiervorschlag: § 5 BbgNRG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https://recht.nulegal.eu/gesetze/BbgNRG/5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