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BbgNRG (Brandenburg) — Leitungen in öffentlichen Straßen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§§ 44 bis 48 gelten nicht für die Verlegung</w:t>
      </w:r>
    </w:p>
    <w:p>
      <w:r>
        <w:t xml:space="preserve">von Leitungen in öffentlichen Straßen und in öffentlichen</w:t>
      </w:r>
    </w:p>
    <w:p>
      <w:r>
        <w:t xml:space="preserve">Grünflächen.</w:t>
      </w:r>
    </w:p>
    <w:p>
      <w:r>
        <w:rPr>
          <w:color w:val="555555"/>
          <w:sz w:val="17"/>
        </w:rPr>
        <w:t xml:space="preserve">Zitiervorschlag: § 49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