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BbgNRG (Brandenburg) — Anschlußrecht des Duldungspflichtigen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Eigentümer und die Nutzungsberechtigten eines</w:t>
      </w:r>
    </w:p>
    <w:p>
      <w:r>
        <w:t xml:space="preserve">Grundstücks, das gemäß § 44 Abs. 1 in Anspruch genommen</w:t>
      </w:r>
    </w:p>
    <w:p>
      <w:r>
        <w:t xml:space="preserve">ist, sind berechtigt, ihrerseits an die verlegten Leitungen</w:t>
      </w:r>
    </w:p>
    <w:p>
      <w:r>
        <w:t xml:space="preserve">anzuschließen, wenn diese ausreichen, um die Versorgung oder</w:t>
      </w:r>
    </w:p>
    <w:p>
      <w:r>
        <w:t xml:space="preserve">Entwässerung der beiden Grundstücke durchzuführen. § 44</w:t>
      </w:r>
    </w:p>
    <w:p>
      <w:r>
        <w:t xml:space="preserve">Abs. 2 Satz 2 und § 45 Abs. 1 gelten entsprechend.</w:t>
      </w:r>
    </w:p>
    <w:p>
      <w:r>
        <w:t xml:space="preserve">(2) Soll ein auf dem betroffenen Grundstück errichtetes</w:t>
      </w:r>
    </w:p>
    <w:p>
      <w:r>
        <w:t xml:space="preserve">oder noch zu erstellendes Gebäude an die Leitungen angeschlossen werden,</w:t>
      </w:r>
    </w:p>
    <w:p>
      <w:r>
        <w:t xml:space="preserve">die der Eigentümer oder die Nutzungsberechtigten des</w:t>
      </w:r>
    </w:p>
    <w:p>
      <w:r>
        <w:t xml:space="preserve">Nachbargrundstücks nach § 44 Abs. 1 durch das Grundstück</w:t>
      </w:r>
    </w:p>
    <w:p>
      <w:r>
        <w:t xml:space="preserve">hindurchführen wollen, so können der Eigentümer und die</w:t>
      </w:r>
    </w:p>
    <w:p>
      <w:r>
        <w:t xml:space="preserve">Nutzungsberechtigten des betroffenen Grundstücks verlangen, daß die</w:t>
      </w:r>
    </w:p>
    <w:p>
      <w:r>
        <w:t xml:space="preserve">Leitungen in einer ihrem Vorhaben Rechnung tragenden und technisch vertretbaren</w:t>
      </w:r>
    </w:p>
    <w:p>
      <w:r>
        <w:t xml:space="preserve">Weise verlegt werden. Die durch dieses Verlangen entstehenden Mehrkosten sind</w:t>
      </w:r>
    </w:p>
    <w:p>
      <w:r>
        <w:t xml:space="preserve">zu erstatten. In Höhe der voraussichtlich erwachsenden Mehrkosten ist auf</w:t>
      </w:r>
    </w:p>
    <w:p>
      <w:r>
        <w:t xml:space="preserve">Verlangen binnen zwei Wochen Vorschuß zu leisten; der Anspruch nach Satz</w:t>
      </w:r>
    </w:p>
    <w:p>
      <w:r>
        <w:t xml:space="preserve">1 erlischt, wenn der Vorschuß nicht fristgerecht geleistet wird.</w:t>
      </w:r>
    </w:p>
    <w:p>
      <w:r>
        <w:rPr>
          <w:color w:val="555555"/>
          <w:sz w:val="17"/>
        </w:rPr>
        <w:t xml:space="preserve">Zitiervorschlag: § 48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