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47 BbgNRG (Brandenburg) — Nachträgliche erhebliche Beeinträchtigung</w:t>
      </w:r>
    </w:p>
    <w:p>
      <w:r>
        <w:rPr>
          <w:color w:val="555555"/>
          <w:sz w:val="18"/>
        </w:rPr>
        <w:t xml:space="preserve">Brandenburgisches Nachbarrechtsgesetz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Führen die nach § 44 Abs. 1 verlegten Leitungen</w:t>
      </w:r>
    </w:p>
    <w:p>
      <w:r>
        <w:t xml:space="preserve">oder die nach § 44 Abs. 2 hergestellten Anschlußleitungen</w:t>
      </w:r>
    </w:p>
    <w:p>
      <w:r>
        <w:t xml:space="preserve">nachträglich zu einer erheblichen Beeinträchtigung, so können</w:t>
      </w:r>
    </w:p>
    <w:p>
      <w:r>
        <w:t xml:space="preserve">der Eigentümer und die Nutzungsberechtigten des betroffenen</w:t>
      </w:r>
    </w:p>
    <w:p>
      <w:r>
        <w:t xml:space="preserve">Grundstücks von dem Berechtigten verlangen, daß er seine Leitungen</w:t>
      </w:r>
    </w:p>
    <w:p>
      <w:r>
        <w:t xml:space="preserve">beseitigt und die Beseitigung der Teile der Leitungen, die gemeinschaftlich</w:t>
      </w:r>
    </w:p>
    <w:p>
      <w:r>
        <w:t xml:space="preserve">genutzt werden, duldet. Dieses Recht entfällt, wenn der Berechtigte die</w:t>
      </w:r>
    </w:p>
    <w:p>
      <w:r>
        <w:t xml:space="preserve">Beeinträchtigung so herabmindert, daß sie nicht mehr erheblich ist.</w:t>
      </w:r>
    </w:p>
    <w:p>
      <w:r>
        <w:t xml:space="preserve">(2) Der Schaden, der durch die Maßnahmen nach Absatz 1</w:t>
      </w:r>
    </w:p>
    <w:p>
      <w:r>
        <w:t xml:space="preserve">auf dem betroffenen Grundstück entsteht, ist zu ersetzen.</w:t>
      </w:r>
    </w:p>
    <w:p>
      <w:r>
        <w:rPr>
          <w:color w:val="555555"/>
          <w:sz w:val="17"/>
        </w:rPr>
        <w:t xml:space="preserve">Zitiervorschlag: § 47 BbgNRG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https://recht.nulegal.eu/gesetze/BbgNRG/47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