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BbgNRG (Brandenburg) — Schadensersatz und Anzeigepflicht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Verpflichtungen zur Anzeige und zum</w:t>
      </w:r>
    </w:p>
    <w:p>
      <w:r>
        <w:t xml:space="preserve">Schadensersatz gelten § 8 Abs. 1 Satz 1 und § 15 entsprechend.</w:t>
      </w:r>
    </w:p>
    <w:p>
      <w:r>
        <w:rPr>
          <w:color w:val="555555"/>
          <w:sz w:val="17"/>
        </w:rPr>
        <w:t xml:space="preserve">Zitiervorschlag: § 46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