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BbgNRG (Brandenburg) — Unterhaltung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Berechtigte hat die nach § 44 Abs. 1 verlegten</w:t>
      </w:r>
    </w:p>
    <w:p>
      <w:r>
        <w:t xml:space="preserve">Leitungen oder die nach § 44 Abs. 2 hergestellten Anschlußleitungen</w:t>
      </w:r>
    </w:p>
    <w:p>
      <w:r>
        <w:t xml:space="preserve">auf seine Kosten zu unterhalten. Zu den Unterhaltungskosten der Teile der</w:t>
      </w:r>
    </w:p>
    <w:p>
      <w:r>
        <w:t xml:space="preserve">Leitungen, die von ihm mitbenutzt werden, hat er einen angemessenen Beitrag zu</w:t>
      </w:r>
    </w:p>
    <w:p>
      <w:r>
        <w:t xml:space="preserve">leisten.</w:t>
      </w:r>
    </w:p>
    <w:p>
      <w:r>
        <w:t xml:space="preserve">(2) Zur Durchführung von Maßnahmen im Sinne des</w:t>
      </w:r>
    </w:p>
    <w:p>
      <w:r>
        <w:t xml:space="preserve">Absatzes 1 Satz 1 darf der Berechtigte oder der von ihm Beauftragte das</w:t>
      </w:r>
    </w:p>
    <w:p>
      <w:r>
        <w:t xml:space="preserve">betroffene Grundstück betreten.</w:t>
      </w:r>
    </w:p>
    <w:p>
      <w:r>
        <w:rPr>
          <w:color w:val="555555"/>
          <w:sz w:val="17"/>
        </w:rPr>
        <w:t xml:space="preserve">Zitiervorschlag: § 45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