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BbgNRG (Brandenburg) — Leitungen in Privatgrundstücken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Eigentümer und die Nutzungsberechtigten eines</w:t>
      </w:r>
    </w:p>
    <w:p>
      <w:r>
        <w:t xml:space="preserve">Grundstücks müssen dulden, daß durch ihr Grundstück der</w:t>
      </w:r>
    </w:p>
    <w:p>
      <w:r>
        <w:t xml:space="preserve">Eigentümer und die Nutzungsberechtigten des Nachbargrundstücks auf</w:t>
      </w:r>
    </w:p>
    <w:p>
      <w:r>
        <w:t xml:space="preserve">eigene Kosten Versorgungs- und Abwasserleitungen hindurchführen, wenn</w:t>
      </w:r>
    </w:p>
    <w:p>
      <w:r>
        <w:t xml:space="preserve">das Vorhaben bauplanungsrechtlich zulässig,</w:t>
      </w:r>
    </w:p>
    <w:p>
      <w:r>
        <w:t xml:space="preserve">der Anschluß an das Versorgungs- und Entwässerungsnetz anders</w:t>
      </w:r>
    </w:p>
    <w:p>
      <w:r>
        <w:t xml:space="preserve">nicht möglich und</w:t>
      </w:r>
    </w:p>
    <w:p>
      <w:r>
        <w:t xml:space="preserve">die damit verbundene Beeinträchtigung nicht erheblich</w:t>
      </w:r>
    </w:p>
    <w:p>
      <w:r>
        <w:t xml:space="preserve">ist.</w:t>
      </w:r>
    </w:p>
    <w:p>
      <w:r>
        <w:t xml:space="preserve">(2) Ist das betroffene Grundstück an das Versorgungs- und</w:t>
      </w:r>
    </w:p>
    <w:p>
      <w:r>
        <w:t xml:space="preserve">Entwässerungsnetz bereits angeschlossen und reichen die vorhandenen</w:t>
      </w:r>
    </w:p>
    <w:p>
      <w:r>
        <w:t xml:space="preserve">Leitungen aus, um die Versorgung oder Entwässerung der beiden</w:t>
      </w:r>
    </w:p>
    <w:p>
      <w:r>
        <w:t xml:space="preserve">Grundstücke durchzuführen, so beschränkt sich die Verpflichtung</w:t>
      </w:r>
    </w:p>
    <w:p>
      <w:r>
        <w:t xml:space="preserve">nach Absatz 1 auf das Dulden des Anschlusses. Im Falle des Anschlusses ist zu</w:t>
      </w:r>
    </w:p>
    <w:p>
      <w:r>
        <w:t xml:space="preserve">den Herstellungskosten des Teils der Leitungen, der nach dem Anschluß</w:t>
      </w:r>
    </w:p>
    <w:p>
      <w:r>
        <w:t xml:space="preserve">mitbenutzt werden soll, ein angemessener Beitrag und auf Verlangen Sicherheit</w:t>
      </w:r>
    </w:p>
    <w:p>
      <w:r>
        <w:t xml:space="preserve">in Höhe des voraussichtlichen Beitrags zu leisten. In diesem Falle darf</w:t>
      </w:r>
    </w:p>
    <w:p>
      <w:r>
        <w:t xml:space="preserve">der Anschluß erst nach Leistung der Sicherheit vorgenommen werden.</w:t>
      </w:r>
    </w:p>
    <w:p>
      <w:r>
        <w:t xml:space="preserve">(3) Bestehen mehrere Möglichkeiten der Durchführung,</w:t>
      </w:r>
    </w:p>
    <w:p>
      <w:r>
        <w:t xml:space="preserve">so ist die für das betroffene Grundstück schonendste zu wählen.</w:t>
      </w:r>
    </w:p>
    <w:p>
      <w:r>
        <w:rPr>
          <w:color w:val="555555"/>
          <w:sz w:val="17"/>
        </w:rPr>
        <w:t xml:space="preserve">Zitiervorschlag: § 44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