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BbgNRG (Brandenburg) — Wild wachsende Pflanzen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Vorschriften dieses Abschnitts gelten für wild</w:t>
      </w:r>
    </w:p>
    <w:p>
      <w:r>
        <w:t xml:space="preserve">wachsende Pflanzen entsprechend. Als Anpflanzen im Sinne des § 40 Satz 1</w:t>
      </w:r>
    </w:p>
    <w:p>
      <w:r>
        <w:t xml:space="preserve">gilt die Erklärung des Grundstückseigentümers gegenüber dem</w:t>
      </w:r>
    </w:p>
    <w:p>
      <w:r>
        <w:t xml:space="preserve">Nachbarn, daß er die wild wachsende Pflanze nicht beseitigen wolle.</w:t>
      </w:r>
    </w:p>
    <w:p>
      <w:r>
        <w:rPr>
          <w:color w:val="555555"/>
          <w:sz w:val="17"/>
        </w:rPr>
        <w:t xml:space="preserve">Zitiervorschlag: § 43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https://recht.nulegal.eu/gesetze/BbgNRG/43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