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BbgNRG (Brandenburg) — Nachträgliche Grenzänderungen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Rechtmäßigkeit des Abstandes wird durch</w:t>
      </w:r>
    </w:p>
    <w:p>
      <w:r>
        <w:t xml:space="preserve">nachträgliche Grenzänderungen nicht berührt; § 41 gilt</w:t>
      </w:r>
    </w:p>
    <w:p>
      <w:r>
        <w:t xml:space="preserve">entsprechend.</w:t>
      </w:r>
    </w:p>
    <w:p>
      <w:r>
        <w:rPr>
          <w:color w:val="555555"/>
          <w:sz w:val="17"/>
        </w:rPr>
        <w:t xml:space="preserve">Zitiervorschlag: § 42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