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BbgNRG (Brandenburg) — Ersatzanpflanzungen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Werden für Anpflanzungen, bei denen der Anspruch auf</w:t>
      </w:r>
    </w:p>
    <w:p>
      <w:r>
        <w:t xml:space="preserve">Beseitigung nach § 40 ausgeschlossen ist, Ersatzanpflanzungen oder</w:t>
      </w:r>
    </w:p>
    <w:p>
      <w:r>
        <w:t xml:space="preserve">Nachpflanzungen vorgenommen, so sind die nach diesem Gesetz vorgeschriebenen</w:t>
      </w:r>
    </w:p>
    <w:p>
      <w:r>
        <w:t xml:space="preserve">Abstände einzuhalten. Dies gilt nicht für die Ersetzung einzelner</w:t>
      </w:r>
    </w:p>
    <w:p>
      <w:r>
        <w:t xml:space="preserve">abgestorbener Heckenpflanzen einer geschlossenen Hecke.</w:t>
      </w:r>
    </w:p>
    <w:p>
      <w:r>
        <w:rPr>
          <w:color w:val="555555"/>
          <w:sz w:val="17"/>
        </w:rPr>
        <w:t xml:space="preserve">Zitiervorschlag: § 41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