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BbgNRG (Brandenburg) — Ausschluß des Beseitigungsanspruchs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Anspruch nach diesem Gesetz auf Beseitigung von</w:t>
      </w:r>
    </w:p>
    <w:p>
      <w:r>
        <w:t xml:space="preserve">Anpflanzungen, die die vorgeschriebenen Mindestabstände nicht einhalten,</w:t>
      </w:r>
    </w:p>
    <w:p>
      <w:r>
        <w:t xml:space="preserve">ist ausgeschlossen, wenn der Nachbar nicht bis zum Ablauf des zweiten auf das</w:t>
      </w:r>
    </w:p>
    <w:p>
      <w:r>
        <w:t xml:space="preserve">Anpflanzen folgenden Kalenderjahres Klage auf Beseitigung erhoben hat. Für</w:t>
      </w:r>
    </w:p>
    <w:p>
      <w:r>
        <w:t xml:space="preserve">Anpflanzungen, die zunächst die vorgeschriebenen Abstände einhalten,</w:t>
      </w:r>
    </w:p>
    <w:p>
      <w:r>
        <w:t xml:space="preserve">beginnt die Frist, wenn sie über die nach diesem Gesetz zulässige</w:t>
      </w:r>
    </w:p>
    <w:p>
      <w:r>
        <w:t xml:space="preserve">Höhe hinausgewachsen sind.</w:t>
      </w:r>
    </w:p>
    <w:p>
      <w:r>
        <w:rPr>
          <w:color w:val="555555"/>
          <w:sz w:val="17"/>
        </w:rPr>
        <w:t xml:space="preserve">Zitiervorschlag: § 40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