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BbgNRG (Brandenburg) — Verjährung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Verjährung von Ansprüchen nach diesem Gesetz richtet sich nach den</w:t>
      </w:r>
    </w:p>
    <w:p>
      <w:r>
        <w:t xml:space="preserve">Vorschriften des Bürgerlichen Gesetzbuchs.</w:t>
      </w:r>
    </w:p>
    <w:p>
      <w:r>
        <w:rPr>
          <w:color w:val="555555"/>
          <w:sz w:val="17"/>
        </w:rPr>
        <w:t xml:space="preserve">Zitiervorschlag: § 4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